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9B" w:rsidRPr="005A446E" w:rsidRDefault="00644F9B" w:rsidP="00644F9B">
      <w:pPr>
        <w:pStyle w:val="s1"/>
        <w:spacing w:before="0" w:beforeAutospacing="0" w:after="0" w:afterAutospacing="0"/>
        <w:ind w:firstLine="680"/>
        <w:jc w:val="right"/>
        <w:rPr>
          <w:color w:val="000000"/>
        </w:rPr>
      </w:pPr>
      <w:bookmarkStart w:id="0" w:name="_GoBack"/>
      <w:bookmarkEnd w:id="0"/>
      <w:r w:rsidRPr="005A446E">
        <w:rPr>
          <w:rStyle w:val="s10"/>
          <w:b/>
          <w:bCs/>
          <w:color w:val="000080"/>
        </w:rPr>
        <w:t>Приложение 3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к</w:t>
      </w:r>
      <w:r w:rsidRPr="005A446E">
        <w:rPr>
          <w:rStyle w:val="apple-converted-space"/>
          <w:b/>
          <w:bCs/>
          <w:color w:val="000080"/>
        </w:rPr>
        <w:t> </w:t>
      </w:r>
      <w:hyperlink r:id="rId5" w:history="1">
        <w:r w:rsidRPr="005A446E">
          <w:rPr>
            <w:rStyle w:val="a3"/>
            <w:b/>
            <w:bCs/>
            <w:color w:val="008000"/>
            <w:u w:val="none"/>
          </w:rPr>
          <w:t>приказу</w:t>
        </w:r>
      </w:hyperlink>
      <w:r w:rsidRPr="005A446E">
        <w:rPr>
          <w:rStyle w:val="apple-converted-space"/>
          <w:b/>
          <w:bCs/>
          <w:color w:val="000080"/>
        </w:rPr>
        <w:t> </w:t>
      </w:r>
      <w:r w:rsidRPr="005A446E">
        <w:rPr>
          <w:rStyle w:val="s10"/>
          <w:b/>
          <w:bCs/>
          <w:color w:val="000080"/>
        </w:rPr>
        <w:t>Федеральной службы по тарифам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от 24 октября 2014 г. N 1831-э</w:t>
      </w:r>
    </w:p>
    <w:p w:rsidR="00644F9B" w:rsidRPr="005A446E" w:rsidRDefault="00644F9B" w:rsidP="00644F9B">
      <w:r w:rsidRPr="005A446E">
        <w:rPr>
          <w:color w:val="000000"/>
        </w:rPr>
        <w:br/>
      </w:r>
      <w:r>
        <w:rPr>
          <w:color w:val="000000"/>
        </w:rPr>
        <w:t xml:space="preserve">                               </w:t>
      </w:r>
      <w:r w:rsidRPr="005A446E">
        <w:t>Форма раскрытия информации</w:t>
      </w:r>
      <w:r>
        <w:t xml:space="preserve"> согласно ПП РФ №24 от 21.01.2004 г. п. 9.б</w:t>
      </w:r>
      <w:r w:rsidRPr="005A446E"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экономически обоснованных расходов (затрат)</w:t>
      </w:r>
    </w:p>
    <w:p w:rsidR="00644F9B" w:rsidRPr="005A446E" w:rsidRDefault="00644F9B" w:rsidP="00644F9B">
      <w:r w:rsidRPr="005A446E">
        <w:rPr>
          <w:color w:val="000000"/>
        </w:rPr>
        <w:br/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Наименование организац</w:t>
      </w:r>
      <w:proofErr w:type="gramStart"/>
      <w:r>
        <w:rPr>
          <w:color w:val="000000"/>
        </w:rPr>
        <w:t>ии  ООО</w:t>
      </w:r>
      <w:proofErr w:type="gramEnd"/>
      <w:r>
        <w:rPr>
          <w:color w:val="000000"/>
        </w:rPr>
        <w:t xml:space="preserve"> «Фотон»</w:t>
      </w:r>
      <w:r w:rsidRPr="005A446E">
        <w:rPr>
          <w:color w:val="000000"/>
        </w:rPr>
        <w:t>_______________________________________________</w:t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>ИНН: __</w:t>
      </w:r>
      <w:r>
        <w:rPr>
          <w:color w:val="000000"/>
        </w:rPr>
        <w:t>8910002438</w:t>
      </w:r>
      <w:r w:rsidRPr="005A446E">
        <w:rPr>
          <w:color w:val="000000"/>
        </w:rPr>
        <w:t>___________________________________</w:t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>КПП: ____</w:t>
      </w:r>
      <w:r>
        <w:rPr>
          <w:color w:val="000000"/>
        </w:rPr>
        <w:t>890401001</w:t>
      </w:r>
      <w:r w:rsidRPr="005A446E">
        <w:rPr>
          <w:color w:val="000000"/>
        </w:rPr>
        <w:t>_________________________________</w:t>
      </w:r>
    </w:p>
    <w:p w:rsidR="00644F9B" w:rsidRPr="005A446E" w:rsidRDefault="00644F9B" w:rsidP="00644F9B"/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5"/>
        <w:gridCol w:w="3722"/>
        <w:gridCol w:w="1049"/>
        <w:gridCol w:w="1117"/>
        <w:gridCol w:w="1117"/>
        <w:gridCol w:w="2056"/>
      </w:tblGrid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N п/п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Показатель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 изм.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201</w:t>
            </w:r>
            <w:r w:rsidR="000B2AEA">
              <w:rPr>
                <w:color w:val="000000"/>
              </w:rPr>
              <w:t>9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Примечание</w:t>
            </w:r>
            <w:hyperlink r:id="rId6" w:anchor="block_3333" w:history="1">
              <w:r w:rsidRPr="005A446E">
                <w:rPr>
                  <w:rStyle w:val="a3"/>
                  <w:color w:val="008000"/>
                  <w:u w:val="none"/>
                </w:rPr>
                <w:t>*(3)</w:t>
              </w:r>
            </w:hyperlink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план</w:t>
            </w:r>
            <w:hyperlink r:id="rId7" w:anchor="block_3111" w:history="1">
              <w:r w:rsidRPr="005A446E">
                <w:rPr>
                  <w:rStyle w:val="a3"/>
                  <w:color w:val="008000"/>
                  <w:u w:val="none"/>
                </w:rPr>
                <w:t>*(1)</w:t>
              </w:r>
            </w:hyperlink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факт</w:t>
            </w:r>
            <w:hyperlink r:id="rId8" w:anchor="block_3222" w:history="1">
              <w:r w:rsidRPr="005A446E">
                <w:rPr>
                  <w:rStyle w:val="a3"/>
                  <w:color w:val="008000"/>
                  <w:u w:val="none"/>
                </w:rPr>
                <w:t>*(2)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Структура затрат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содержание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950B56" w:rsidRDefault="00FD32F0" w:rsidP="005E19AA">
            <w:pPr>
              <w:rPr>
                <w:color w:val="000000"/>
              </w:rPr>
            </w:pPr>
            <w:r>
              <w:rPr>
                <w:color w:val="000000"/>
              </w:rPr>
              <w:t>71179,38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40B99" w:rsidRDefault="00747B6E" w:rsidP="005E19AA">
            <w:pPr>
              <w:rPr>
                <w:color w:val="000000"/>
              </w:rPr>
            </w:pPr>
            <w:r>
              <w:rPr>
                <w:color w:val="000000"/>
              </w:rPr>
              <w:t>42475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Себестоимость,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203C0" w:rsidRDefault="00FD32F0" w:rsidP="005E19AA">
            <w:pPr>
              <w:rPr>
                <w:color w:val="000000"/>
              </w:rPr>
            </w:pPr>
            <w:r>
              <w:rPr>
                <w:color w:val="000000"/>
              </w:rPr>
              <w:t>70639,38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C70D9" w:rsidRDefault="00E05436" w:rsidP="005D047F">
            <w:pPr>
              <w:rPr>
                <w:color w:val="000000"/>
              </w:rPr>
            </w:pPr>
            <w:r>
              <w:rPr>
                <w:color w:val="000000"/>
              </w:rPr>
              <w:t>51958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Материальные расходы,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354F35" w:rsidP="005E19AA">
            <w:pPr>
              <w:rPr>
                <w:color w:val="000000"/>
              </w:rPr>
            </w:pPr>
            <w:r>
              <w:rPr>
                <w:color w:val="000000"/>
              </w:rPr>
              <w:t>70393,38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9E46C3" w:rsidP="005E19AA">
            <w:pPr>
              <w:rPr>
                <w:color w:val="000000"/>
              </w:rPr>
            </w:pPr>
            <w:r>
              <w:rPr>
                <w:color w:val="000000"/>
              </w:rPr>
              <w:t>22467,15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7A02E1" w:rsidP="005E19AA">
            <w:pPr>
              <w:rPr>
                <w:color w:val="000000"/>
              </w:rPr>
            </w:pPr>
            <w:r>
              <w:rPr>
                <w:color w:val="000000"/>
              </w:rPr>
              <w:t>18324,75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C14662" w:rsidP="005E19AA">
            <w:pPr>
              <w:rPr>
                <w:color w:val="000000"/>
              </w:rPr>
            </w:pPr>
            <w:r>
              <w:rPr>
                <w:color w:val="000000"/>
              </w:rPr>
              <w:t>18706,00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7A02E1" w:rsidP="005E19AA">
            <w:pPr>
              <w:rPr>
                <w:color w:val="000000"/>
              </w:rPr>
            </w:pPr>
            <w:r>
              <w:rPr>
                <w:color w:val="000000"/>
              </w:rPr>
              <w:t>24000,00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9E46C3" w:rsidP="005E19AA">
            <w:pPr>
              <w:rPr>
                <w:color w:val="000000"/>
              </w:rPr>
            </w:pPr>
            <w:r>
              <w:rPr>
                <w:color w:val="000000"/>
              </w:rPr>
              <w:t>3761,15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Фонд оплаты труда и отчисления на социальные нужды,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EF5E53" w:rsidP="005E19AA">
            <w:pPr>
              <w:rPr>
                <w:color w:val="000000"/>
              </w:rPr>
            </w:pPr>
            <w:r>
              <w:rPr>
                <w:color w:val="000000"/>
              </w:rPr>
              <w:t>19604,51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C14662" w:rsidP="005E19AA">
            <w:pPr>
              <w:rPr>
                <w:color w:val="000000"/>
              </w:rPr>
            </w:pPr>
            <w:r>
              <w:rPr>
                <w:color w:val="000000"/>
              </w:rPr>
              <w:t>16449,58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Амортизационные отчисления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33CC6" w:rsidRDefault="000875FC" w:rsidP="005E19AA">
            <w:pPr>
              <w:rPr>
                <w:color w:val="000000"/>
              </w:rPr>
            </w:pPr>
            <w:r>
              <w:rPr>
                <w:color w:val="000000"/>
              </w:rPr>
              <w:t>2448,00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44A23" w:rsidRDefault="00060665" w:rsidP="005E19AA">
            <w:pPr>
              <w:rPr>
                <w:color w:val="000000"/>
              </w:rPr>
            </w:pPr>
            <w:r>
              <w:rPr>
                <w:color w:val="000000"/>
              </w:rPr>
              <w:t>2436,44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33CC6" w:rsidRDefault="00354F35" w:rsidP="005E19AA">
            <w:pPr>
              <w:rPr>
                <w:color w:val="000000"/>
              </w:rPr>
            </w:pPr>
            <w:r>
              <w:rPr>
                <w:color w:val="000000"/>
              </w:rPr>
              <w:t>2323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15C30" w:rsidRDefault="00B15C30" w:rsidP="007A6145">
            <w:pPr>
              <w:rPr>
                <w:color w:val="000000"/>
              </w:rPr>
            </w:pPr>
            <w:r>
              <w:rPr>
                <w:color w:val="000000"/>
              </w:rPr>
              <w:t>10604,83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Плата за аренду имущества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EF5E53" w:rsidP="005E19AA">
            <w:pPr>
              <w:rPr>
                <w:color w:val="000000"/>
              </w:rPr>
            </w:pPr>
            <w:r>
              <w:rPr>
                <w:color w:val="000000"/>
              </w:rPr>
              <w:t>768,92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0044F9" w:rsidP="005E19AA">
            <w:pPr>
              <w:rPr>
                <w:color w:val="000000"/>
              </w:rPr>
            </w:pPr>
            <w:r>
              <w:rPr>
                <w:color w:val="000000"/>
              </w:rPr>
              <w:t>3274,09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налоги, пошлины и сборы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AD31F6" w:rsidP="005E19AA">
            <w:pPr>
              <w:rPr>
                <w:color w:val="000000"/>
              </w:rPr>
            </w:pPr>
            <w:r>
              <w:rPr>
                <w:color w:val="000000"/>
              </w:rPr>
              <w:t>684,2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A723FC" w:rsidP="005E19AA">
            <w:pPr>
              <w:rPr>
                <w:color w:val="000000"/>
              </w:rPr>
            </w:pPr>
            <w:r>
              <w:rPr>
                <w:color w:val="000000"/>
              </w:rPr>
              <w:t>1151,99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обслуживание операционных заемных средств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DD7C6C" w:rsidRDefault="00EF5E53" w:rsidP="005E19AA">
            <w:pPr>
              <w:rPr>
                <w:color w:val="000000"/>
              </w:rPr>
            </w:pPr>
            <w:r>
              <w:rPr>
                <w:color w:val="000000"/>
              </w:rPr>
              <w:t>2240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DD7C6C" w:rsidRDefault="00E05436" w:rsidP="005E19AA">
            <w:pPr>
              <w:rPr>
                <w:color w:val="000000"/>
              </w:rPr>
            </w:pPr>
            <w:r>
              <w:rPr>
                <w:color w:val="000000"/>
              </w:rPr>
              <w:t>2267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 (с расшифровкой)</w:t>
            </w:r>
            <w:hyperlink r:id="rId9" w:anchor="block_3444" w:history="1">
              <w:r w:rsidRPr="005A446E">
                <w:rPr>
                  <w:rStyle w:val="a3"/>
                  <w:color w:val="26579A"/>
                  <w:u w:val="none"/>
                </w:rPr>
                <w:t>*(4)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AD31F6" w:rsidP="005E19AA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B15C30" w:rsidP="005E19AA">
            <w:pPr>
              <w:rPr>
                <w:color w:val="000000"/>
              </w:rPr>
            </w:pPr>
            <w:r>
              <w:rPr>
                <w:color w:val="000000"/>
              </w:rPr>
              <w:t>3911,75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Прибыль до налогообложения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0B2AEA" w:rsidRDefault="000B2AEA" w:rsidP="005E19AA">
            <w:pPr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20DE4" w:rsidRDefault="00320DE4" w:rsidP="00320DE4">
            <w:pPr>
              <w:rPr>
                <w:color w:val="000000"/>
              </w:rPr>
            </w:pPr>
            <w:r>
              <w:rPr>
                <w:color w:val="000000"/>
              </w:rPr>
              <w:t>739,48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 на прибыль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200BD" w:rsidRDefault="00105C02" w:rsidP="005E19AA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FA436D" w:rsidRDefault="00320DE4" w:rsidP="005E19AA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Чистая прибыль,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200BD" w:rsidRDefault="00105C02" w:rsidP="005E19AA">
            <w:pPr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FA436D" w:rsidRDefault="00A64A56" w:rsidP="005E19AA">
            <w:pPr>
              <w:rPr>
                <w:color w:val="000000"/>
              </w:rPr>
            </w:pPr>
            <w:r>
              <w:rPr>
                <w:color w:val="000000"/>
              </w:rPr>
              <w:t>591,48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капитальные вложения (инвестиции)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возврат инвестиционных кредитов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дивиденды по акциям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прочие расходы из прибыли (с расшифровкой)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"Количество льготных технологических присоединений"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расходы на ремонт, всего (</w:t>
            </w:r>
            <w:hyperlink r:id="rId10" w:anchor="block_3101112" w:history="1">
              <w:r w:rsidRPr="005A446E">
                <w:rPr>
                  <w:rStyle w:val="a3"/>
                  <w:color w:val="26579A"/>
                  <w:u w:val="none"/>
                </w:rPr>
                <w:t>пункт 1.1.1.2</w:t>
              </w:r>
            </w:hyperlink>
            <w:r w:rsidRPr="005A446E">
              <w:rPr>
                <w:rStyle w:val="apple-converted-space"/>
                <w:color w:val="000000"/>
              </w:rPr>
              <w:t> </w:t>
            </w:r>
            <w:r w:rsidRPr="005A446E">
              <w:rPr>
                <w:color w:val="000000"/>
              </w:rPr>
              <w:t>+</w:t>
            </w:r>
            <w:r w:rsidRPr="005A446E">
              <w:rPr>
                <w:rStyle w:val="apple-converted-space"/>
                <w:color w:val="000000"/>
              </w:rPr>
              <w:t> </w:t>
            </w:r>
            <w:hyperlink r:id="rId11" w:anchor="block_3101121" w:history="1">
              <w:r w:rsidRPr="005A446E">
                <w:rPr>
                  <w:rStyle w:val="a3"/>
                  <w:color w:val="26579A"/>
                  <w:u w:val="none"/>
                </w:rPr>
                <w:t>пункт 1.1.2.1</w:t>
              </w:r>
            </w:hyperlink>
            <w:r w:rsidRPr="005A446E">
              <w:rPr>
                <w:color w:val="000000"/>
              </w:rPr>
              <w:t>+ пункт 1.1.3.1)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4F9B">
              <w:rPr>
                <w:color w:val="000000"/>
              </w:rPr>
              <w:t>Справочно</w:t>
            </w:r>
            <w:proofErr w:type="spellEnd"/>
            <w:r w:rsidRPr="00644F9B">
              <w:rPr>
                <w:color w:val="000000"/>
              </w:rPr>
              <w:t>:</w:t>
            </w:r>
          </w:p>
          <w:p w:rsidR="00644F9B" w:rsidRPr="00644F9B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644F9B">
              <w:rPr>
                <w:color w:val="000000"/>
              </w:rPr>
              <w:t>Объем технологических потерь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CD18C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51565E">
              <w:rPr>
                <w:color w:val="000000"/>
                <w:highlight w:val="yellow"/>
              </w:rPr>
              <w:fldChar w:fldCharType="begin"/>
            </w:r>
            <w:r w:rsidR="00644F9B" w:rsidRPr="0051565E">
              <w:rPr>
                <w:color w:val="000000"/>
                <w:highlight w:val="yellow"/>
              </w:rPr>
              <w:instrText xml:space="preserve"> INCLUDEPICTURE "http://base.garant.ru/files/base/70842132/1865915527.png" \* MERGEFORMATINET </w:instrText>
            </w:r>
            <w:r w:rsidRPr="0051565E"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 w:rsidR="00E2060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 w:rsidR="0015262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 w:rsidR="005E19AA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 w:rsidR="005A52C7" w:rsidRPr="00CD18CB">
              <w:rPr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5.75pt">
                  <v:imagedata r:id="rId12" r:href="rId13"/>
                </v:shape>
              </w:pict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 w:rsidRPr="0051565E"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</w:t>
            </w:r>
          </w:p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IV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общее количество точек подключения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3819">
              <w:rPr>
                <w:color w:val="000000"/>
              </w:rPr>
              <w:t>шт.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B33819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452E2D">
              <w:rPr>
                <w:color w:val="000000"/>
              </w:rPr>
              <w:t>69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B33819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52E2D">
              <w:rPr>
                <w:color w:val="000000"/>
              </w:rPr>
              <w:t>69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Трансформаторная мощность подстанций,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трансформаторная мощность подстанций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линиям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4   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A52C7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</w:t>
            </w:r>
            <w:r w:rsidR="005A52C7">
              <w:rPr>
                <w:color w:val="000000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A52C7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  </w:t>
            </w:r>
            <w:r w:rsidR="005A52C7">
              <w:rPr>
                <w:color w:val="000000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подстанциям,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 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771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Длина линий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5,1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A52C7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</w:t>
            </w:r>
            <w:r w:rsidR="005A52C7">
              <w:rPr>
                <w:color w:val="000000"/>
              </w:rPr>
              <w:t>5,1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длина линий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5,1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A52C7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</w:t>
            </w:r>
            <w:r w:rsidR="005A52C7">
              <w:rPr>
                <w:color w:val="000000"/>
              </w:rPr>
              <w:t>5,1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79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6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Доля кабельных линий электропередач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15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A52C7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</w:t>
            </w:r>
            <w:r w:rsidR="005A52C7">
              <w:rPr>
                <w:color w:val="000000"/>
              </w:rPr>
              <w:t>15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7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46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7.1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за счет платы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93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8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4" w:anchor="block_3555" w:history="1">
              <w:r w:rsidRPr="005A446E">
                <w:rPr>
                  <w:rStyle w:val="a3"/>
                  <w:color w:val="26579A"/>
                  <w:u w:val="none"/>
                </w:rPr>
                <w:t>*(5)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</w:tbl>
    <w:p w:rsidR="00644F9B" w:rsidRPr="005A446E" w:rsidRDefault="00644F9B" w:rsidP="00644F9B">
      <w:r w:rsidRPr="005A446E">
        <w:rPr>
          <w:color w:val="000000"/>
        </w:rPr>
        <w:br/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Примечание: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*(1)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</w:t>
      </w:r>
      <w:r w:rsidRPr="005A446E">
        <w:rPr>
          <w:rStyle w:val="apple-converted-space"/>
          <w:color w:val="000000"/>
        </w:rPr>
        <w:t> </w:t>
      </w:r>
      <w:hyperlink r:id="rId15" w:anchor="block_3001" w:history="1">
        <w:r w:rsidRPr="005A446E">
          <w:rPr>
            <w:rStyle w:val="a3"/>
            <w:color w:val="008000"/>
            <w:u w:val="none"/>
          </w:rPr>
          <w:t>столбце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&lt;план&gt; указываются соответствующие значения.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*(2) Информация о фактических затратах на оказание регулируемых услуг заполняется на основании данных раздельного учета расходов по регулируемым видам</w:t>
      </w:r>
      <w:r w:rsidRPr="005A446E">
        <w:rPr>
          <w:rFonts w:ascii="Arial" w:hAnsi="Arial" w:cs="Arial"/>
          <w:color w:val="000000"/>
        </w:rPr>
        <w:t xml:space="preserve"> </w:t>
      </w:r>
      <w:r w:rsidRPr="005A446E">
        <w:rPr>
          <w:color w:val="000000"/>
        </w:rPr>
        <w:t>деятельности.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*(3)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*(4) В соответствии с</w:t>
      </w:r>
      <w:r w:rsidRPr="005A446E">
        <w:rPr>
          <w:rStyle w:val="apple-converted-space"/>
          <w:color w:val="000000"/>
        </w:rPr>
        <w:t> </w:t>
      </w:r>
      <w:hyperlink r:id="rId16" w:anchor="block_200178" w:history="1">
        <w:r w:rsidRPr="005A446E">
          <w:rPr>
            <w:rStyle w:val="a3"/>
            <w:color w:val="008000"/>
            <w:u w:val="none"/>
          </w:rPr>
          <w:t>пунктом 28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Основ ценообразования в области регулируемых цен (тарифов) в электроэнергетике, утвержденных</w:t>
      </w:r>
      <w:r w:rsidRPr="005A446E">
        <w:rPr>
          <w:rStyle w:val="apple-converted-space"/>
          <w:color w:val="000000"/>
        </w:rPr>
        <w:t> </w:t>
      </w:r>
      <w:hyperlink r:id="rId17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29.12.2011 N 1178, за исключением подпунктов 1.1.4.1 - 1.1.4.4.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*(5) В соответствии с</w:t>
      </w:r>
      <w:r w:rsidRPr="005A446E">
        <w:rPr>
          <w:rStyle w:val="apple-converted-space"/>
          <w:color w:val="000000"/>
        </w:rPr>
        <w:t> </w:t>
      </w:r>
      <w:hyperlink r:id="rId18" w:anchor="block_142148" w:history="1">
        <w:r w:rsidRPr="005A446E">
          <w:rPr>
            <w:rStyle w:val="a3"/>
            <w:color w:val="008000"/>
            <w:u w:val="none"/>
          </w:rPr>
          <w:t>пунктом 4.2.14.8.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Положения о Министерстве энергетики Российской Федерации, утвержденного</w:t>
      </w:r>
      <w:r w:rsidRPr="005A446E">
        <w:rPr>
          <w:rStyle w:val="apple-converted-space"/>
          <w:color w:val="000000"/>
        </w:rPr>
        <w:t> </w:t>
      </w:r>
      <w:hyperlink r:id="rId19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28.05.2008 N 400.</w:t>
      </w:r>
    </w:p>
    <w:p w:rsidR="00644F9B" w:rsidRPr="005A446E" w:rsidRDefault="00644F9B" w:rsidP="00644F9B">
      <w:r w:rsidRPr="005A446E">
        <w:rPr>
          <w:rFonts w:ascii="Arial" w:hAnsi="Arial" w:cs="Arial"/>
          <w:color w:val="000000"/>
        </w:rPr>
        <w:br/>
      </w:r>
      <w:r w:rsidRPr="005A446E">
        <w:rPr>
          <w:rFonts w:ascii="Arial" w:hAnsi="Arial" w:cs="Arial"/>
          <w:color w:val="000000"/>
        </w:rPr>
        <w:br/>
      </w:r>
    </w:p>
    <w:p w:rsidR="004F318D" w:rsidRDefault="004F318D"/>
    <w:sectPr w:rsidR="004F318D" w:rsidSect="005E19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9E23D7"/>
    <w:rsid w:val="000044F9"/>
    <w:rsid w:val="00033D74"/>
    <w:rsid w:val="00060665"/>
    <w:rsid w:val="000875FC"/>
    <w:rsid w:val="000B2AEA"/>
    <w:rsid w:val="000E4532"/>
    <w:rsid w:val="00105C02"/>
    <w:rsid w:val="0011189F"/>
    <w:rsid w:val="00152624"/>
    <w:rsid w:val="00176063"/>
    <w:rsid w:val="00233804"/>
    <w:rsid w:val="00252C81"/>
    <w:rsid w:val="002F7AC6"/>
    <w:rsid w:val="00320DE4"/>
    <w:rsid w:val="00354F35"/>
    <w:rsid w:val="00452E2D"/>
    <w:rsid w:val="00457499"/>
    <w:rsid w:val="00470FD1"/>
    <w:rsid w:val="004E0C1B"/>
    <w:rsid w:val="004F318D"/>
    <w:rsid w:val="005437B0"/>
    <w:rsid w:val="005554C8"/>
    <w:rsid w:val="005A52C7"/>
    <w:rsid w:val="005C4701"/>
    <w:rsid w:val="005D047F"/>
    <w:rsid w:val="005D5B10"/>
    <w:rsid w:val="005E19AA"/>
    <w:rsid w:val="00644F9B"/>
    <w:rsid w:val="00727AEA"/>
    <w:rsid w:val="00747B6E"/>
    <w:rsid w:val="00772AEF"/>
    <w:rsid w:val="007A02E1"/>
    <w:rsid w:val="007A6145"/>
    <w:rsid w:val="007C7DF9"/>
    <w:rsid w:val="00946011"/>
    <w:rsid w:val="00985C9A"/>
    <w:rsid w:val="009E23D7"/>
    <w:rsid w:val="009E46C3"/>
    <w:rsid w:val="009F27CD"/>
    <w:rsid w:val="00A40945"/>
    <w:rsid w:val="00A64A56"/>
    <w:rsid w:val="00A723FC"/>
    <w:rsid w:val="00AD31F6"/>
    <w:rsid w:val="00AE5420"/>
    <w:rsid w:val="00B15C30"/>
    <w:rsid w:val="00B2013F"/>
    <w:rsid w:val="00B33819"/>
    <w:rsid w:val="00B5661B"/>
    <w:rsid w:val="00BC70D9"/>
    <w:rsid w:val="00C14662"/>
    <w:rsid w:val="00CC6F07"/>
    <w:rsid w:val="00CD18CB"/>
    <w:rsid w:val="00D12466"/>
    <w:rsid w:val="00DB2DC8"/>
    <w:rsid w:val="00E05436"/>
    <w:rsid w:val="00E20604"/>
    <w:rsid w:val="00EF5E53"/>
    <w:rsid w:val="00F06D2B"/>
    <w:rsid w:val="00FD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4F9B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4F9B"/>
  </w:style>
  <w:style w:type="character" w:customStyle="1" w:styleId="apple-converted-space">
    <w:name w:val="apple-converted-space"/>
    <w:basedOn w:val="a0"/>
    <w:rsid w:val="00644F9B"/>
  </w:style>
  <w:style w:type="character" w:styleId="a3">
    <w:name w:val="Hyperlink"/>
    <w:rsid w:val="00644F9B"/>
    <w:rPr>
      <w:color w:val="0000FF"/>
      <w:u w:val="single"/>
    </w:rPr>
  </w:style>
  <w:style w:type="paragraph" w:customStyle="1" w:styleId="s16">
    <w:name w:val="s_16"/>
    <w:basedOn w:val="a"/>
    <w:rsid w:val="00644F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image" Target="http://base.garant.ru/files/base/70842132/1865915527.png" TargetMode="External"/><Relationship Id="rId18" Type="http://schemas.openxmlformats.org/officeDocument/2006/relationships/hyperlink" Target="http://base.garant.ru/19334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842132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base.garant.ru/7011930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1193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42132/" TargetMode="External"/><Relationship Id="rId11" Type="http://schemas.openxmlformats.org/officeDocument/2006/relationships/hyperlink" Target="http://base.garant.ru/70842132/" TargetMode="External"/><Relationship Id="rId5" Type="http://schemas.openxmlformats.org/officeDocument/2006/relationships/hyperlink" Target="http://base.garant.ru/70842132/" TargetMode="External"/><Relationship Id="rId15" Type="http://schemas.openxmlformats.org/officeDocument/2006/relationships/hyperlink" Target="http://base.garant.ru/70842132/" TargetMode="External"/><Relationship Id="rId10" Type="http://schemas.openxmlformats.org/officeDocument/2006/relationships/hyperlink" Target="http://base.garant.ru/70842132/" TargetMode="External"/><Relationship Id="rId19" Type="http://schemas.openxmlformats.org/officeDocument/2006/relationships/hyperlink" Target="http://base.garant.ru/1933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0454C-D92F-4744-813F-4F8DF1BB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Microsoft</cp:lastModifiedBy>
  <cp:revision>2</cp:revision>
  <cp:lastPrinted>2020-05-04T11:12:00Z</cp:lastPrinted>
  <dcterms:created xsi:type="dcterms:W3CDTF">2020-05-19T10:43:00Z</dcterms:created>
  <dcterms:modified xsi:type="dcterms:W3CDTF">2020-05-19T10:43:00Z</dcterms:modified>
</cp:coreProperties>
</file>